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bookmarkStart w:id="2" w:name="_GoBack"/>
      <w:bookmarkEnd w:id="2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ascii="黑体" w:hAnsi="黑体" w:eastAsia="黑体" w:cs="黑体"/>
          <w:sz w:val="28"/>
          <w:szCs w:val="28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ascii="黑体" w:hAnsi="黑体" w:eastAsia="黑体" w:cs="黑体"/>
          <w:sz w:val="28"/>
          <w:szCs w:val="28"/>
        </w:rPr>
        <w:t>：</w:t>
      </w:r>
    </w:p>
    <w:p>
      <w:pPr>
        <w:spacing w:line="360" w:lineRule="auto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bookmarkStart w:id="0" w:name="OLE_LINK3"/>
      <w:r>
        <w:rPr>
          <w:rFonts w:hint="eastAsia" w:ascii="黑体" w:hAnsi="黑体" w:eastAsia="黑体" w:cs="黑体"/>
          <w:sz w:val="28"/>
          <w:szCs w:val="28"/>
        </w:rPr>
        <w:t>一、专业类培养方案表述方式</w:t>
      </w:r>
    </w:p>
    <w:bookmarkEnd w:id="0"/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</w:t>
      </w:r>
      <w:r>
        <w:rPr>
          <w:rFonts w:hint="eastAsia" w:ascii="黑体" w:hAnsi="黑体" w:eastAsia="黑体" w:cs="黑体"/>
          <w:szCs w:val="21"/>
        </w:rPr>
        <w:t xml:space="preserve">****类培养方案  </w:t>
      </w:r>
      <w:r>
        <w:rPr>
          <w:rFonts w:hint="eastAsia" w:ascii="宋体" w:hAnsi="宋体" w:cs="宋体"/>
          <w:szCs w:val="21"/>
        </w:rPr>
        <w:t xml:space="preserve">  </w:t>
      </w:r>
    </w:p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*****类培养方案包括专业类培养目标、专业类培养面向、专业类通识教育课程、专业类学科基础课程等部分内容。专业类课程的专业必修课程和选修课程详见分专业培养方案。分专业培养方案包括培养目标、业务培养要求、主干学科和主要课程、专业特色等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一、专业类培养特色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二、专业类培养面向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学生入学后实行按****专业类厚基础、宽口径培养，第*学期后进入分专业培养阶段。本专业类主要面向的专业包括：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1.****     2.****   3.****   4.****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三、通识教育课程  **学分</w:t>
      </w:r>
    </w:p>
    <w:tbl>
      <w:tblPr>
        <w:tblStyle w:val="8"/>
        <w:tblW w:w="9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1098"/>
        <w:gridCol w:w="1865"/>
        <w:gridCol w:w="480"/>
        <w:gridCol w:w="632"/>
        <w:gridCol w:w="568"/>
        <w:gridCol w:w="450"/>
        <w:gridCol w:w="412"/>
        <w:gridCol w:w="476"/>
        <w:gridCol w:w="429"/>
        <w:gridCol w:w="441"/>
        <w:gridCol w:w="418"/>
        <w:gridCol w:w="465"/>
        <w:gridCol w:w="420"/>
        <w:gridCol w:w="49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8" w:type="dxa"/>
            <w:vMerge w:val="restart"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" w:name="OLE_LINK1" w:colFirst="1" w:colLast="8"/>
            <w:r>
              <w:rPr>
                <w:rFonts w:hint="eastAsia" w:ascii="宋体" w:hAnsi="宋体"/>
                <w:sz w:val="18"/>
                <w:szCs w:val="18"/>
              </w:rPr>
              <w:t>课程性质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代码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考核性质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总学时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验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</w:t>
            </w:r>
          </w:p>
        </w:tc>
        <w:tc>
          <w:tcPr>
            <w:tcW w:w="3556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建议修读学期及学分分配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8" w:type="dxa"/>
            <w:vMerge w:val="continue"/>
            <w:textDirection w:val="tbRlV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8" w:type="dxa"/>
            <w:vMerge w:val="restart"/>
            <w:vAlign w:val="center"/>
          </w:tcPr>
          <w:p>
            <w:pPr>
              <w:spacing w:line="200" w:lineRule="exact"/>
              <w:ind w:left="-34" w:leftChars="-16"/>
              <w:jc w:val="center"/>
              <w:rPr>
                <w:rFonts w:hint="eastAsia" w:ascii="宋体" w:hAnsi="宋体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</w:rPr>
              <w:t>必修课</w:t>
            </w: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color w:val="993300"/>
                <w:sz w:val="18"/>
                <w:szCs w:val="18"/>
              </w:rPr>
            </w:pPr>
            <w:r>
              <w:rPr>
                <w:rFonts w:ascii="宋体" w:hAnsi="宋体"/>
                <w:color w:val="9933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993300"/>
                <w:sz w:val="18"/>
                <w:szCs w:val="18"/>
              </w:rPr>
              <w:t>1001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思想道德修养与法律基</w:t>
            </w:r>
            <w:r>
              <w:rPr>
                <w:rFonts w:hint="eastAsia" w:ascii="宋体" w:hAnsi="宋体"/>
                <w:sz w:val="18"/>
                <w:szCs w:val="18"/>
              </w:rPr>
              <w:t>础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课外1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color w:val="993300"/>
                <w:sz w:val="18"/>
                <w:szCs w:val="18"/>
              </w:rPr>
            </w:pPr>
            <w:r>
              <w:rPr>
                <w:rFonts w:ascii="宋体" w:hAnsi="宋体"/>
                <w:color w:val="9933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993300"/>
                <w:sz w:val="18"/>
                <w:szCs w:val="18"/>
              </w:rPr>
              <w:t>1002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马克思主义基本原理</w:t>
            </w:r>
            <w:r>
              <w:rPr>
                <w:rFonts w:hint="eastAsia" w:ascii="宋体" w:hAnsi="宋体"/>
                <w:sz w:val="18"/>
                <w:szCs w:val="18"/>
              </w:rPr>
              <w:t>概论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36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课外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color w:val="993300"/>
                <w:sz w:val="18"/>
                <w:szCs w:val="18"/>
              </w:rPr>
            </w:pPr>
            <w:r>
              <w:rPr>
                <w:rFonts w:ascii="宋体" w:hAnsi="宋体"/>
                <w:color w:val="9933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993300"/>
                <w:sz w:val="18"/>
                <w:szCs w:val="18"/>
              </w:rPr>
              <w:t>1003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中国近</w:t>
            </w:r>
            <w:r>
              <w:rPr>
                <w:rFonts w:hint="eastAsia" w:ascii="宋体" w:hAnsi="宋体"/>
                <w:sz w:val="18"/>
                <w:szCs w:val="18"/>
              </w:rPr>
              <w:t>现</w:t>
            </w:r>
            <w:r>
              <w:rPr>
                <w:rFonts w:ascii="宋体" w:hAnsi="宋体"/>
                <w:sz w:val="18"/>
                <w:szCs w:val="18"/>
              </w:rPr>
              <w:t>代史纲要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课外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color w:val="993300"/>
                <w:sz w:val="18"/>
                <w:szCs w:val="18"/>
              </w:rPr>
            </w:pPr>
            <w:r>
              <w:rPr>
                <w:rFonts w:ascii="宋体" w:hAnsi="宋体"/>
                <w:color w:val="9933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993300"/>
                <w:sz w:val="18"/>
                <w:szCs w:val="18"/>
              </w:rPr>
              <w:t>1004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毛泽东思想和中国特色社会主义</w:t>
            </w:r>
            <w:r>
              <w:rPr>
                <w:rFonts w:hint="eastAsia" w:ascii="宋体" w:hAnsi="宋体"/>
                <w:sz w:val="18"/>
                <w:szCs w:val="18"/>
              </w:rPr>
              <w:t>理论体系概论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3.5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60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课外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  <w:r>
              <w:rPr>
                <w:rFonts w:ascii="宋体" w:hAnsi="宋体"/>
                <w:spacing w:val="-2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color w:val="993300"/>
                <w:sz w:val="18"/>
                <w:szCs w:val="18"/>
              </w:rPr>
            </w:pPr>
            <w:r>
              <w:rPr>
                <w:rFonts w:ascii="宋体" w:hAnsi="宋体"/>
                <w:color w:val="9933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993300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color w:val="993300"/>
                <w:sz w:val="18"/>
                <w:szCs w:val="18"/>
              </w:rPr>
              <w:t>-6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形势与政策Ⅰ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Ⅱ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32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课外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911001</w:t>
            </w:r>
            <w:r>
              <w:rPr>
                <w:rFonts w:hint="eastAsia" w:ascii="宋体" w:hAnsi="宋体"/>
                <w:sz w:val="18"/>
                <w:szCs w:val="18"/>
              </w:rPr>
              <w:t>-4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体育Ⅰ-Ⅳ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120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军事</w:t>
            </w:r>
            <w:r>
              <w:rPr>
                <w:rFonts w:hint="eastAsia" w:ascii="宋体" w:hAnsi="宋体"/>
                <w:sz w:val="18"/>
                <w:szCs w:val="18"/>
              </w:rPr>
              <w:t>教育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spacing w:val="-20"/>
                <w:sz w:val="15"/>
                <w:szCs w:val="15"/>
              </w:rPr>
              <w:t>16</w:t>
            </w:r>
            <w:r>
              <w:rPr>
                <w:rFonts w:hint="eastAsia" w:ascii="宋体" w:hAnsi="宋体"/>
                <w:spacing w:val="-20"/>
                <w:sz w:val="15"/>
                <w:szCs w:val="15"/>
              </w:rPr>
              <w:t>+</w:t>
            </w:r>
          </w:p>
          <w:p>
            <w:pPr>
              <w:spacing w:line="200" w:lineRule="exac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3.5周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3.5周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+分散16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/>
                <w:spacing w:val="-10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2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007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-10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大学英语BⅠ-Ⅳ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922001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大学计算机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16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1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922002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C语言程序设计基础</w:t>
            </w:r>
          </w:p>
        </w:tc>
        <w:tc>
          <w:tcPr>
            <w:tcW w:w="480" w:type="dxa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 xml:space="preserve"> 3</w:t>
            </w:r>
          </w:p>
        </w:tc>
        <w:tc>
          <w:tcPr>
            <w:tcW w:w="632" w:type="dxa"/>
            <w:vAlign w:val="center"/>
          </w:tcPr>
          <w:p>
            <w:pPr>
              <w:spacing w:line="190" w:lineRule="exact"/>
              <w:ind w:right="-105" w:rightChars="-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60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16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4"/>
              <w:spacing w:line="200" w:lineRule="exact"/>
              <w:jc w:val="center"/>
              <w:rPr>
                <w:rFonts w:ascii="宋体" w:hAns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931004-5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高等数学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  <w:r>
              <w:rPr>
                <w:rFonts w:ascii="宋体" w:hAnsi="宋体"/>
                <w:sz w:val="18"/>
                <w:szCs w:val="18"/>
              </w:rPr>
              <w:t>Ⅰ-Ⅱ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36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rPr>
                <w:rFonts w:ascii="宋体" w:hAnsi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＋习题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931011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线性代数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54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＋习题1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931014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概率论与数理统计</w:t>
            </w:r>
            <w:r>
              <w:rPr>
                <w:rFonts w:hint="eastAsia" w:ascii="宋体" w:hAnsi="宋体"/>
                <w:sz w:val="18"/>
                <w:szCs w:val="18"/>
              </w:rPr>
              <w:t>B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5</w:t>
            </w:r>
            <w:r>
              <w:rPr>
                <w:rFonts w:ascii="宋体" w:hAnsi="宋体"/>
                <w:spacing w:val="-20"/>
                <w:sz w:val="18"/>
                <w:szCs w:val="18"/>
              </w:rPr>
              <w:t>4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＋习题1</w:t>
            </w:r>
            <w:r>
              <w:rPr>
                <w:rFonts w:hint="eastAsia" w:ascii="宋体" w:hAnsi="宋体"/>
                <w:spacing w:val="-2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933037-40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数学实验Ⅰ-Ⅳ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40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40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5"/>
                <w:szCs w:val="15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0.5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941005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大学物理B I～II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 xml:space="preserve"> 7</w:t>
            </w:r>
          </w:p>
        </w:tc>
        <w:tc>
          <w:tcPr>
            <w:tcW w:w="632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450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 xml:space="preserve"> 8</w:t>
            </w:r>
          </w:p>
        </w:tc>
        <w:tc>
          <w:tcPr>
            <w:tcW w:w="412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3.5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3.5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943007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大学物理实验BI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II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1.5</w:t>
            </w:r>
          </w:p>
        </w:tc>
        <w:tc>
          <w:tcPr>
            <w:tcW w:w="632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450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12" w:type="dxa"/>
            <w:vAlign w:val="center"/>
          </w:tcPr>
          <w:p>
            <w:pPr>
              <w:ind w:left="-63" w:leftChars="-30" w:right="-63" w:rightChars="-30" w:firstLine="280" w:firstLineChars="200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ind w:left="-63" w:leftChars="-30" w:right="-63" w:rightChars="-30" w:firstLine="280" w:firstLineChars="200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0.5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95200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普通化学及实验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 xml:space="preserve"> 3</w:t>
            </w:r>
          </w:p>
        </w:tc>
        <w:tc>
          <w:tcPr>
            <w:tcW w:w="632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60</w:t>
            </w:r>
          </w:p>
        </w:tc>
        <w:tc>
          <w:tcPr>
            <w:tcW w:w="450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12</w:t>
            </w:r>
          </w:p>
        </w:tc>
        <w:tc>
          <w:tcPr>
            <w:tcW w:w="412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ind w:left="-63" w:leftChars="-30" w:right="-63" w:rightChars="-30" w:firstLine="280" w:firstLineChars="200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>
            <w:pPr>
              <w:ind w:right="-63" w:rightChars="-30"/>
              <w:rPr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ind w:right="-63" w:rightChars="-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ind w:right="-63" w:rightChars="-30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ind w:right="-63" w:rightChars="-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ind w:right="-63" w:rightChars="-30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ind w:right="-63" w:rightChars="-3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ind w:left="-63" w:leftChars="-30" w:right="-63" w:rightChars="-30" w:firstLine="280" w:firstLineChars="200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7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  <w:t>60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  <w:t>1200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  <w:t>210</w:t>
            </w: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37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选修课</w:t>
            </w:r>
          </w:p>
        </w:tc>
        <w:tc>
          <w:tcPr>
            <w:tcW w:w="8352" w:type="dxa"/>
            <w:gridSpan w:val="14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要求在7大类</w:t>
            </w:r>
            <w:r>
              <w:rPr>
                <w:rFonts w:hint="eastAsia" w:ascii="宋体" w:hAnsi="宋体"/>
                <w:sz w:val="18"/>
                <w:szCs w:val="18"/>
              </w:rPr>
              <w:t>通识</w:t>
            </w:r>
            <w:r>
              <w:rPr>
                <w:rFonts w:ascii="宋体" w:hAnsi="宋体"/>
                <w:sz w:val="18"/>
                <w:szCs w:val="18"/>
              </w:rPr>
              <w:t>教育选修</w:t>
            </w:r>
            <w:r>
              <w:rPr>
                <w:rFonts w:hint="eastAsia" w:ascii="宋体" w:hAnsi="宋体"/>
                <w:sz w:val="18"/>
                <w:szCs w:val="18"/>
              </w:rPr>
              <w:t>课非本学科相关</w:t>
            </w:r>
            <w:r>
              <w:rPr>
                <w:rFonts w:ascii="宋体" w:hAnsi="宋体"/>
                <w:sz w:val="18"/>
                <w:szCs w:val="18"/>
              </w:rPr>
              <w:t>模块中任选</w:t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t>学分</w:t>
            </w:r>
          </w:p>
        </w:tc>
      </w:tr>
    </w:tbl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四、专业类学科基础课程   **学分</w:t>
      </w:r>
    </w:p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1.学科基础必修课程  **学分</w:t>
      </w:r>
    </w:p>
    <w:tbl>
      <w:tblPr>
        <w:tblStyle w:val="8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865"/>
        <w:gridCol w:w="480"/>
        <w:gridCol w:w="632"/>
        <w:gridCol w:w="568"/>
        <w:gridCol w:w="450"/>
        <w:gridCol w:w="412"/>
        <w:gridCol w:w="525"/>
        <w:gridCol w:w="380"/>
        <w:gridCol w:w="441"/>
        <w:gridCol w:w="418"/>
        <w:gridCol w:w="465"/>
        <w:gridCol w:w="420"/>
        <w:gridCol w:w="49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代码</w:t>
            </w: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考核性质</w:t>
            </w: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总学时</w:t>
            </w: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验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</w:t>
            </w:r>
          </w:p>
        </w:tc>
        <w:tc>
          <w:tcPr>
            <w:tcW w:w="3556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建议修读学期及学分分配</w:t>
            </w: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exact"/>
          <w:jc w:val="center"/>
        </w:trPr>
        <w:tc>
          <w:tcPr>
            <w:tcW w:w="1098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96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2.学科基础选修课程  **学分</w:t>
      </w:r>
    </w:p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详见分专业培养方案。各专业可根据对学科基础课程的不同要求，通过课程组合，自主设置专业类学科基础选修课程的课程设置和选修要求。</w:t>
      </w:r>
    </w:p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五、专业课程  ****学分</w:t>
      </w:r>
    </w:p>
    <w:p>
      <w:p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详见各专业培养方案。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修业年限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一般为四年。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学位授予</w:t>
      </w:r>
    </w:p>
    <w:p>
      <w:pPr>
        <w:spacing w:line="360" w:lineRule="auto"/>
        <w:rPr>
          <w:rFonts w:hint="eastAsia" w:ascii="宋体" w:hAnsi="宋体" w:cs="宋体"/>
          <w:szCs w:val="21"/>
        </w:rPr>
      </w:pPr>
    </w:p>
    <w:p>
      <w:pPr>
        <w:spacing w:line="360" w:lineRule="auto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二、分专业培养方案教学计划及其进程表表述方式</w:t>
      </w:r>
    </w:p>
    <w:p>
      <w:pPr>
        <w:spacing w:after="156" w:afterLines="50" w:line="700" w:lineRule="exact"/>
        <w:jc w:val="center"/>
        <w:rPr>
          <w:rFonts w:ascii="文鼎小标宋简" w:hAnsi="宋体" w:eastAsia="文鼎小标宋简"/>
          <w:bCs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文鼎小标宋简" w:hAnsi="宋体" w:eastAsia="文鼎小标宋简"/>
          <w:bCs/>
          <w:sz w:val="30"/>
          <w:szCs w:val="30"/>
        </w:rPr>
        <w:t>****</w:t>
      </w:r>
      <w:r>
        <w:rPr>
          <w:rFonts w:ascii="文鼎小标宋简" w:hAnsi="宋体" w:eastAsia="文鼎小标宋简"/>
          <w:bCs/>
          <w:sz w:val="30"/>
          <w:szCs w:val="30"/>
        </w:rPr>
        <w:t>专业指导性教学计划及其进程表</w:t>
      </w:r>
    </w:p>
    <w:tbl>
      <w:tblPr>
        <w:tblStyle w:val="8"/>
        <w:tblW w:w="10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78"/>
        <w:gridCol w:w="107"/>
        <w:gridCol w:w="171"/>
        <w:gridCol w:w="1098"/>
        <w:gridCol w:w="1865"/>
        <w:gridCol w:w="480"/>
        <w:gridCol w:w="632"/>
        <w:gridCol w:w="568"/>
        <w:gridCol w:w="450"/>
        <w:gridCol w:w="412"/>
        <w:gridCol w:w="476"/>
        <w:gridCol w:w="49"/>
        <w:gridCol w:w="380"/>
        <w:gridCol w:w="441"/>
        <w:gridCol w:w="418"/>
        <w:gridCol w:w="465"/>
        <w:gridCol w:w="420"/>
        <w:gridCol w:w="49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95" w:type="dxa"/>
            <w:gridSpan w:val="2"/>
            <w:vMerge w:val="restart"/>
            <w:textDirection w:val="tbRlV"/>
            <w:vAlign w:val="center"/>
          </w:tcPr>
          <w:p>
            <w:pPr>
              <w:spacing w:line="200" w:lineRule="exact"/>
              <w:ind w:left="20" w:hanging="20" w:hangingChars="1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课程类别</w:t>
            </w:r>
          </w:p>
        </w:tc>
        <w:tc>
          <w:tcPr>
            <w:tcW w:w="278" w:type="dxa"/>
            <w:gridSpan w:val="2"/>
            <w:vMerge w:val="restart"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课程性质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代码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考核性质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总学时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验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</w:t>
            </w:r>
          </w:p>
        </w:tc>
        <w:tc>
          <w:tcPr>
            <w:tcW w:w="355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建议修读学期及学分分配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95" w:type="dxa"/>
            <w:gridSpan w:val="2"/>
            <w:vMerge w:val="continue"/>
            <w:textDirection w:val="tbRlV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278" w:type="dxa"/>
            <w:gridSpan w:val="2"/>
            <w:vMerge w:val="continue"/>
            <w:textDirection w:val="tbRlV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87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通识教育课程</w:t>
            </w:r>
          </w:p>
        </w:tc>
        <w:tc>
          <w:tcPr>
            <w:tcW w:w="8352" w:type="dxa"/>
            <w:gridSpan w:val="15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详见专业类培养方案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317" w:type="dxa"/>
            <w:vMerge w:val="restart"/>
            <w:vAlign w:val="center"/>
          </w:tcPr>
          <w:p>
            <w:pPr>
              <w:spacing w:line="200" w:lineRule="exact"/>
              <w:ind w:left="-25" w:leftChars="-12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学科基础课</w:t>
            </w:r>
          </w:p>
        </w:tc>
        <w:tc>
          <w:tcPr>
            <w:tcW w:w="285" w:type="dxa"/>
            <w:gridSpan w:val="2"/>
            <w:vAlign w:val="center"/>
          </w:tcPr>
          <w:p>
            <w:pPr>
              <w:spacing w:line="200" w:lineRule="exact"/>
              <w:ind w:left="-34" w:leftChars="-1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</w:t>
            </w:r>
          </w:p>
        </w:tc>
        <w:tc>
          <w:tcPr>
            <w:tcW w:w="9621" w:type="dxa"/>
            <w:gridSpan w:val="17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详见专业类培养方案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restart"/>
            <w:vAlign w:val="center"/>
          </w:tcPr>
          <w:p>
            <w:pPr>
              <w:spacing w:line="200" w:lineRule="exact"/>
              <w:ind w:left="-34" w:leftChars="-16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选修课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至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少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选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修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restart"/>
            <w:vAlign w:val="center"/>
          </w:tcPr>
          <w:p>
            <w:pPr>
              <w:spacing w:line="200" w:lineRule="exact"/>
              <w:ind w:left="-78" w:leftChars="-3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专业教育</w:t>
            </w:r>
            <w:r>
              <w:rPr>
                <w:rFonts w:hint="eastAsia" w:ascii="宋体" w:hAnsi="宋体"/>
                <w:sz w:val="18"/>
                <w:szCs w:val="18"/>
              </w:rPr>
              <w:t>课</w:t>
            </w:r>
          </w:p>
        </w:tc>
        <w:tc>
          <w:tcPr>
            <w:tcW w:w="285" w:type="dxa"/>
            <w:gridSpan w:val="2"/>
            <w:vMerge w:val="restart"/>
            <w:vAlign w:val="center"/>
          </w:tcPr>
          <w:p>
            <w:pPr>
              <w:spacing w:line="200" w:lineRule="exact"/>
              <w:ind w:left="-67" w:leftChars="-32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34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restart"/>
            <w:vAlign w:val="center"/>
          </w:tcPr>
          <w:p>
            <w:pPr>
              <w:spacing w:line="200" w:lineRule="exact"/>
              <w:ind w:left="-67" w:leftChars="-32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选修课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至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少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选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修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*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17" w:type="dxa"/>
            <w:vMerge w:val="continue"/>
            <w:vAlign w:val="center"/>
          </w:tcPr>
          <w:p>
            <w:pPr>
              <w:spacing w:line="200" w:lineRule="exact"/>
              <w:ind w:left="-67" w:right="-145" w:rightChars="-69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vMerge w:val="continue"/>
            <w:vAlign w:val="center"/>
          </w:tcPr>
          <w:p>
            <w:pPr>
              <w:spacing w:line="200" w:lineRule="exact"/>
              <w:ind w:left="-67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hint="eastAsia" w:ascii="黑体" w:hAnsi="黑体" w:eastAsia="黑体" w:cs="黑体"/>
          <w:b/>
          <w:sz w:val="28"/>
          <w:szCs w:val="28"/>
        </w:rPr>
      </w:pPr>
    </w:p>
    <w:tbl>
      <w:tblPr>
        <w:tblStyle w:val="8"/>
        <w:tblpPr w:leftFromText="180" w:rightFromText="180" w:vertAnchor="text" w:tblpX="9826" w:tblpY="-785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4" w:type="dxa"/>
          </w:tcPr>
          <w:p>
            <w:pPr>
              <w:spacing w:line="360" w:lineRule="exact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文鼎小标宋简" w:hAnsi="宋体" w:eastAsia="文鼎小标宋简"/>
          <w:bCs/>
          <w:sz w:val="30"/>
          <w:szCs w:val="30"/>
        </w:rPr>
      </w:pPr>
    </w:p>
    <w:p>
      <w:pPr>
        <w:spacing w:after="156" w:afterLines="50" w:line="700" w:lineRule="exact"/>
        <w:jc w:val="center"/>
        <w:rPr>
          <w:rFonts w:hint="eastAsia" w:ascii="文鼎小标宋简" w:hAnsi="宋体" w:eastAsia="文鼎小标宋简"/>
          <w:bCs/>
          <w:sz w:val="30"/>
          <w:szCs w:val="30"/>
        </w:rPr>
      </w:pPr>
    </w:p>
    <w:p>
      <w:pPr>
        <w:spacing w:after="156" w:afterLines="50" w:line="700" w:lineRule="exact"/>
        <w:jc w:val="center"/>
        <w:rPr>
          <w:rFonts w:hint="eastAsia" w:ascii="文鼎小标宋简" w:hAnsi="宋体" w:eastAsia="文鼎小标宋简"/>
          <w:bCs/>
          <w:sz w:val="30"/>
          <w:szCs w:val="30"/>
        </w:rPr>
      </w:pPr>
      <w:r>
        <w:rPr>
          <w:rFonts w:hint="eastAsia" w:ascii="文鼎小标宋简" w:hAnsi="宋体" w:eastAsia="文鼎小标宋简"/>
          <w:bCs/>
          <w:sz w:val="30"/>
          <w:szCs w:val="30"/>
        </w:rPr>
        <w:t>****专业实践教学环节安排表</w:t>
      </w:r>
    </w:p>
    <w:tbl>
      <w:tblPr>
        <w:tblStyle w:val="8"/>
        <w:tblW w:w="8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16"/>
        <w:gridCol w:w="608"/>
        <w:gridCol w:w="1095"/>
        <w:gridCol w:w="1395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实践环节编号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践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环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建议修读学期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3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文鼎小标宋简" w:hAnsi="宋体" w:eastAsia="文鼎小标宋简"/>
          <w:bCs/>
          <w:sz w:val="30"/>
          <w:szCs w:val="30"/>
        </w:rPr>
      </w:pPr>
      <w:r>
        <w:rPr>
          <w:rFonts w:hint="eastAsia" w:ascii="文鼎小标宋简" w:hAnsi="宋体" w:eastAsia="文鼎小标宋简"/>
          <w:bCs/>
          <w:sz w:val="30"/>
          <w:szCs w:val="30"/>
        </w:rPr>
        <w:t>****专业学时、学分分配表</w:t>
      </w:r>
    </w:p>
    <w:tbl>
      <w:tblPr>
        <w:tblStyle w:val="8"/>
        <w:tblW w:w="94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2"/>
        <w:gridCol w:w="862"/>
        <w:gridCol w:w="862"/>
        <w:gridCol w:w="861"/>
        <w:gridCol w:w="1061"/>
        <w:gridCol w:w="840"/>
        <w:gridCol w:w="915"/>
        <w:gridCol w:w="78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纵向结构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学时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百分比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百分比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横向结构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学时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百分比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百分比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通识教育课程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学科基础课程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专业教育课程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0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独立实践环节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学分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18"/>
                <w:szCs w:val="18"/>
              </w:rPr>
              <w:t>合计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学分</w:t>
            </w:r>
          </w:p>
        </w:tc>
      </w:tr>
    </w:tbl>
    <w:p>
      <w:pPr>
        <w:spacing w:line="360" w:lineRule="auto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</w:t>
      </w:r>
    </w:p>
    <w:p/>
    <w:sectPr>
      <w:footerReference r:id="rId3" w:type="default"/>
      <w:footerReference r:id="rId4" w:type="even"/>
      <w:pgSz w:w="11906" w:h="16838"/>
      <w:pgMar w:top="1089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FACB"/>
    <w:multiLevelType w:val="singleLevel"/>
    <w:tmpl w:val="5786FACB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1B"/>
    <w:rsid w:val="00412D4F"/>
    <w:rsid w:val="004E6B1B"/>
    <w:rsid w:val="37AA7D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sz w:val="24"/>
    </w:rPr>
  </w:style>
  <w:style w:type="paragraph" w:styleId="3">
    <w:name w:val="Body Text Indent 2"/>
    <w:basedOn w:val="1"/>
    <w:link w:val="11"/>
    <w:qFormat/>
    <w:uiPriority w:val="0"/>
    <w:pPr>
      <w:ind w:left="-181" w:leftChars="-86" w:firstLine="560" w:firstLineChars="200"/>
    </w:pPr>
    <w:rPr>
      <w:rFonts w:ascii="仿宋_GB2312" w:eastAsia="仿宋_GB2312"/>
      <w:sz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页脚 Char"/>
    <w:basedOn w:val="6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2 Char"/>
    <w:basedOn w:val="6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2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432</Words>
  <Characters>2466</Characters>
  <Lines>20</Lines>
  <Paragraphs>5</Paragraphs>
  <TotalTime>0</TotalTime>
  <ScaleCrop>false</ScaleCrop>
  <LinksUpToDate>false</LinksUpToDate>
  <CharactersWithSpaces>2893</CharactersWithSpaces>
  <Application>WPS Office_10.1.0.5777_F1E327BC-269C-435d-A152-05C5408002CA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2016-07-18T05:45:00Z</dcterms:created>
  <dc:creator>dell9020</dc:creator>
  <lastModifiedBy>Administrator</lastModifiedBy>
  <dcterms:modified xsi:type="dcterms:W3CDTF">2016-07-21T08:25:48Z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